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A9" w:rsidRPr="00423FCF" w:rsidRDefault="00A26197" w:rsidP="00A26197">
      <w:pPr>
        <w:jc w:val="center"/>
        <w:rPr>
          <w:rFonts w:ascii="Arial" w:hAnsi="Arial" w:cs="Arial"/>
          <w:b/>
          <w:sz w:val="32"/>
          <w:szCs w:val="32"/>
        </w:rPr>
      </w:pPr>
      <w:r w:rsidRPr="00423FCF">
        <w:rPr>
          <w:rFonts w:ascii="Arial" w:hAnsi="Arial" w:cs="Arial"/>
          <w:b/>
          <w:sz w:val="32"/>
          <w:szCs w:val="32"/>
        </w:rPr>
        <w:t>AIR FORCE SCHOOL BAMRAULI</w:t>
      </w:r>
    </w:p>
    <w:p w:rsidR="00A26197" w:rsidRDefault="00A26197" w:rsidP="00A26197">
      <w:pPr>
        <w:jc w:val="center"/>
        <w:rPr>
          <w:rFonts w:ascii="Arial" w:hAnsi="Arial" w:cs="Arial"/>
          <w:sz w:val="24"/>
          <w:szCs w:val="24"/>
        </w:rPr>
      </w:pPr>
      <w:r>
        <w:rPr>
          <w:rFonts w:ascii="Arial" w:hAnsi="Arial" w:cs="Arial"/>
          <w:sz w:val="24"/>
          <w:szCs w:val="24"/>
        </w:rPr>
        <w:t>ACADEMIC SESSION 2019-20</w:t>
      </w:r>
    </w:p>
    <w:p w:rsidR="00A26197" w:rsidRDefault="00A26197" w:rsidP="00A26197">
      <w:pPr>
        <w:jc w:val="center"/>
        <w:rPr>
          <w:rFonts w:ascii="Arial" w:hAnsi="Arial" w:cs="Arial"/>
          <w:sz w:val="24"/>
          <w:szCs w:val="24"/>
        </w:rPr>
      </w:pPr>
      <w:r>
        <w:rPr>
          <w:rFonts w:ascii="Arial" w:hAnsi="Arial" w:cs="Arial"/>
          <w:sz w:val="24"/>
          <w:szCs w:val="24"/>
        </w:rPr>
        <w:t>MONTHLY SPLIT-UP OF SYLLABUS</w:t>
      </w:r>
    </w:p>
    <w:p w:rsidR="00A26197" w:rsidRDefault="00A26197" w:rsidP="00A26197">
      <w:pPr>
        <w:jc w:val="center"/>
        <w:rPr>
          <w:rFonts w:ascii="Arial" w:hAnsi="Arial" w:cs="Arial"/>
          <w:sz w:val="24"/>
          <w:szCs w:val="24"/>
        </w:rPr>
      </w:pPr>
    </w:p>
    <w:p w:rsidR="00A26197" w:rsidRDefault="00A26197" w:rsidP="00A26197">
      <w:pPr>
        <w:rPr>
          <w:rFonts w:ascii="Arial" w:hAnsi="Arial" w:cs="Arial"/>
          <w:sz w:val="24"/>
          <w:szCs w:val="24"/>
        </w:rPr>
      </w:pPr>
      <w:r>
        <w:rPr>
          <w:rFonts w:ascii="Arial" w:hAnsi="Arial" w:cs="Arial"/>
          <w:sz w:val="24"/>
          <w:szCs w:val="24"/>
        </w:rPr>
        <w:t>Class –XII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Sub: Biotechnology</w:t>
      </w:r>
    </w:p>
    <w:tbl>
      <w:tblPr>
        <w:tblStyle w:val="TableGrid"/>
        <w:tblW w:w="0" w:type="auto"/>
        <w:tblLook w:val="04A0" w:firstRow="1" w:lastRow="0" w:firstColumn="1" w:lastColumn="0" w:noHBand="0" w:noVBand="1"/>
      </w:tblPr>
      <w:tblGrid>
        <w:gridCol w:w="1057"/>
        <w:gridCol w:w="1395"/>
        <w:gridCol w:w="3613"/>
        <w:gridCol w:w="3511"/>
      </w:tblGrid>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Sl. No.</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Month</w:t>
            </w:r>
          </w:p>
        </w:tc>
        <w:tc>
          <w:tcPr>
            <w:tcW w:w="3780" w:type="dxa"/>
          </w:tcPr>
          <w:p w:rsidR="00A26197" w:rsidRPr="00C65A12" w:rsidRDefault="00A26197" w:rsidP="00A26197">
            <w:pPr>
              <w:rPr>
                <w:rFonts w:ascii="Arial" w:hAnsi="Arial" w:cs="Arial"/>
                <w:sz w:val="24"/>
                <w:szCs w:val="24"/>
              </w:rPr>
            </w:pPr>
            <w:r w:rsidRPr="00C65A12">
              <w:rPr>
                <w:rFonts w:ascii="Arial" w:hAnsi="Arial" w:cs="Arial"/>
                <w:sz w:val="24"/>
                <w:szCs w:val="24"/>
              </w:rPr>
              <w:t>Chapter/Unit Lesson</w:t>
            </w:r>
          </w:p>
        </w:tc>
        <w:tc>
          <w:tcPr>
            <w:tcW w:w="3258" w:type="dxa"/>
          </w:tcPr>
          <w:p w:rsidR="00A26197" w:rsidRPr="00C65A12" w:rsidRDefault="00A26197" w:rsidP="00A26197">
            <w:pPr>
              <w:rPr>
                <w:rFonts w:ascii="Arial" w:hAnsi="Arial" w:cs="Arial"/>
                <w:sz w:val="24"/>
                <w:szCs w:val="24"/>
              </w:rPr>
            </w:pPr>
            <w:r w:rsidRPr="00C65A12">
              <w:rPr>
                <w:rFonts w:ascii="Arial" w:hAnsi="Arial" w:cs="Arial"/>
                <w:sz w:val="24"/>
                <w:szCs w:val="24"/>
              </w:rPr>
              <w:t>Topic/Sub Topic</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1</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Apr</w:t>
            </w:r>
          </w:p>
          <w:p w:rsidR="00A26197" w:rsidRPr="00C65A12" w:rsidRDefault="00A26197" w:rsidP="00A26197">
            <w:pPr>
              <w:rPr>
                <w:rFonts w:ascii="Arial" w:hAnsi="Arial" w:cs="Arial"/>
                <w:sz w:val="24"/>
                <w:szCs w:val="24"/>
              </w:rPr>
            </w:pPr>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Recombinant DNA Technology</w:t>
            </w:r>
          </w:p>
        </w:tc>
        <w:tc>
          <w:tcPr>
            <w:tcW w:w="3258" w:type="dxa"/>
          </w:tcPr>
          <w:p w:rsidR="00A26197" w:rsidRPr="00C65A12" w:rsidRDefault="00A26197" w:rsidP="00A26197">
            <w:pPr>
              <w:rPr>
                <w:rFonts w:ascii="Arial" w:hAnsi="Arial" w:cs="Arial"/>
                <w:sz w:val="24"/>
                <w:szCs w:val="24"/>
              </w:rPr>
            </w:pPr>
            <w:r w:rsidRPr="00C65A12">
              <w:rPr>
                <w:rFonts w:ascii="Arial" w:hAnsi="Arial" w:cs="Arial"/>
                <w:color w:val="212529"/>
                <w:sz w:val="24"/>
                <w:szCs w:val="24"/>
                <w:shd w:val="clear" w:color="auto" w:fill="FFFFFF"/>
              </w:rPr>
              <w:t>Introduction; Tool of rDNA Technology; Marketing Recombinant DNA; Introduction of Recombinant DNA into Host Cells; Identification of Recombinants; DNA Library; DNA Probes; Hybridization Techniques; Polymerase Chain Reaction (PCR); DNA Secquencing; Site-directed Mutagenesis</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2</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May</w:t>
            </w:r>
          </w:p>
          <w:p w:rsidR="00A26197" w:rsidRPr="00C65A12" w:rsidRDefault="00A26197" w:rsidP="00A26197">
            <w:pPr>
              <w:rPr>
                <w:rFonts w:ascii="Arial" w:hAnsi="Arial" w:cs="Arial"/>
                <w:sz w:val="24"/>
                <w:szCs w:val="24"/>
              </w:rPr>
            </w:pPr>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Protein Structure and Engineering</w:t>
            </w:r>
          </w:p>
        </w:tc>
        <w:tc>
          <w:tcPr>
            <w:tcW w:w="3258" w:type="dxa"/>
          </w:tcPr>
          <w:p w:rsidR="00A26197" w:rsidRPr="00C65A12" w:rsidRDefault="00A26197" w:rsidP="00A26197">
            <w:pPr>
              <w:rPr>
                <w:rFonts w:ascii="Arial" w:hAnsi="Arial" w:cs="Arial"/>
                <w:sz w:val="24"/>
                <w:szCs w:val="24"/>
              </w:rPr>
            </w:pPr>
            <w:r w:rsidRPr="00C65A12">
              <w:rPr>
                <w:rFonts w:ascii="Arial" w:hAnsi="Arial" w:cs="Arial"/>
                <w:color w:val="212529"/>
                <w:sz w:val="24"/>
                <w:szCs w:val="24"/>
                <w:shd w:val="clear" w:color="auto" w:fill="FFFFFF"/>
              </w:rPr>
              <w:t>Introduction to the World of Proteins; 3-D Shape of Proteins; Structure-Function Relationship in Proteins Purification of Proteins; Characterization of Proteins; Protein based Products; Designing Proteins (protein engineering)</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3</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Jun</w:t>
            </w:r>
          </w:p>
          <w:p w:rsidR="00A26197" w:rsidRPr="00C65A12" w:rsidRDefault="00A26197" w:rsidP="00A26197">
            <w:pPr>
              <w:rPr>
                <w:rFonts w:ascii="Arial" w:hAnsi="Arial" w:cs="Arial"/>
                <w:sz w:val="24"/>
                <w:szCs w:val="24"/>
              </w:rPr>
            </w:pPr>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Genomics and Bioinformatics</w:t>
            </w:r>
          </w:p>
        </w:tc>
        <w:tc>
          <w:tcPr>
            <w:tcW w:w="3258" w:type="dxa"/>
          </w:tcPr>
          <w:p w:rsidR="00A26197" w:rsidRPr="00C65A12" w:rsidRDefault="00A26197" w:rsidP="00A26197">
            <w:pPr>
              <w:rPr>
                <w:rFonts w:ascii="Arial" w:hAnsi="Arial" w:cs="Arial"/>
                <w:color w:val="212529"/>
                <w:sz w:val="24"/>
                <w:szCs w:val="24"/>
                <w:shd w:val="clear" w:color="auto" w:fill="FFFFFF"/>
              </w:rPr>
            </w:pPr>
            <w:r w:rsidRPr="00C65A12">
              <w:rPr>
                <w:rFonts w:ascii="Arial" w:hAnsi="Arial" w:cs="Arial"/>
                <w:color w:val="212529"/>
                <w:sz w:val="24"/>
                <w:szCs w:val="24"/>
                <w:shd w:val="clear" w:color="auto" w:fill="FFFFFF"/>
              </w:rPr>
              <w:t>Introduction; Genome Sequencing Projects; Gene Prediction and Counting; Genome Similarity, SNPs and Comparative Genomics; Functional Genomics; Proteomics; History of Bioinformatics; Sequences and Nomenclature; Information Sources; Analysis using Bioinformatics Tools</w:t>
            </w:r>
          </w:p>
          <w:p w:rsidR="00C65A12" w:rsidRPr="00C65A12" w:rsidRDefault="00C65A12" w:rsidP="00A26197">
            <w:pPr>
              <w:rPr>
                <w:rFonts w:ascii="Arial" w:hAnsi="Arial" w:cs="Arial"/>
                <w:color w:val="212529"/>
                <w:sz w:val="24"/>
                <w:szCs w:val="24"/>
                <w:shd w:val="clear" w:color="auto" w:fill="FFFFFF"/>
              </w:rPr>
            </w:pPr>
          </w:p>
          <w:p w:rsidR="00C65A12" w:rsidRPr="00C65A12" w:rsidRDefault="00C65A12" w:rsidP="00A26197">
            <w:pPr>
              <w:rPr>
                <w:rFonts w:ascii="Arial" w:hAnsi="Arial" w:cs="Arial"/>
                <w:sz w:val="24"/>
                <w:szCs w:val="24"/>
              </w:rPr>
            </w:pP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lastRenderedPageBreak/>
              <w:t>4</w:t>
            </w:r>
          </w:p>
        </w:tc>
        <w:tc>
          <w:tcPr>
            <w:tcW w:w="1440" w:type="dxa"/>
          </w:tcPr>
          <w:p w:rsidR="00A26197" w:rsidRPr="00C65A12" w:rsidRDefault="002C1B9F" w:rsidP="00A26197">
            <w:pPr>
              <w:rPr>
                <w:rFonts w:ascii="Arial" w:hAnsi="Arial" w:cs="Arial"/>
                <w:sz w:val="24"/>
                <w:szCs w:val="24"/>
              </w:rPr>
            </w:pPr>
            <w:r>
              <w:rPr>
                <w:rFonts w:ascii="Arial" w:hAnsi="Arial" w:cs="Arial"/>
                <w:sz w:val="24"/>
                <w:szCs w:val="24"/>
              </w:rPr>
              <w:t>Jul</w:t>
            </w:r>
          </w:p>
          <w:p w:rsidR="00A26197" w:rsidRPr="00C65A12" w:rsidRDefault="00A26197" w:rsidP="00A26197">
            <w:pPr>
              <w:rPr>
                <w:rFonts w:ascii="Arial" w:hAnsi="Arial" w:cs="Arial"/>
                <w:sz w:val="24"/>
                <w:szCs w:val="24"/>
              </w:rPr>
            </w:pPr>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Microbial Culture and Applications</w:t>
            </w:r>
          </w:p>
        </w:tc>
        <w:tc>
          <w:tcPr>
            <w:tcW w:w="3258" w:type="dxa"/>
          </w:tcPr>
          <w:p w:rsidR="00A26197" w:rsidRPr="00C65A12" w:rsidRDefault="00A26197" w:rsidP="00A26197">
            <w:pPr>
              <w:pStyle w:val="NormalWeb"/>
              <w:shd w:val="clear" w:color="auto" w:fill="FFFFFF"/>
              <w:spacing w:before="0" w:beforeAutospacing="0"/>
              <w:jc w:val="both"/>
              <w:rPr>
                <w:rFonts w:ascii="Arial" w:hAnsi="Arial" w:cs="Arial"/>
              </w:rPr>
            </w:pPr>
            <w:r w:rsidRPr="00C65A12">
              <w:rPr>
                <w:rFonts w:ascii="Arial" w:hAnsi="Arial" w:cs="Arial"/>
                <w:color w:val="212529"/>
              </w:rPr>
              <w:t>Introduction, Microbial culture techniques, Measurement and kinetics of microbial growth, Scale up of microbial process, Isolation of microbial products, Strain isolation and improvement, Applications of microbial culture technology, Biosafety issues in microbial technology</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5</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Aug</w:t>
            </w:r>
          </w:p>
          <w:p w:rsidR="00A26197" w:rsidRPr="00C65A12" w:rsidRDefault="00A26197" w:rsidP="00A26197">
            <w:pPr>
              <w:rPr>
                <w:rFonts w:ascii="Arial" w:hAnsi="Arial" w:cs="Arial"/>
                <w:sz w:val="24"/>
                <w:szCs w:val="24"/>
              </w:rPr>
            </w:pPr>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Plant Cell Culture and Applications</w:t>
            </w:r>
          </w:p>
        </w:tc>
        <w:tc>
          <w:tcPr>
            <w:tcW w:w="3258" w:type="dxa"/>
          </w:tcPr>
          <w:p w:rsidR="00A26197" w:rsidRPr="00C65A12" w:rsidRDefault="00A26197" w:rsidP="00A26197">
            <w:pPr>
              <w:rPr>
                <w:rFonts w:ascii="Arial" w:hAnsi="Arial" w:cs="Arial"/>
                <w:sz w:val="24"/>
                <w:szCs w:val="24"/>
              </w:rPr>
            </w:pPr>
            <w:r w:rsidRPr="00C65A12">
              <w:rPr>
                <w:rFonts w:ascii="Arial" w:hAnsi="Arial" w:cs="Arial"/>
                <w:color w:val="212529"/>
                <w:sz w:val="24"/>
                <w:szCs w:val="24"/>
                <w:shd w:val="clear" w:color="auto" w:fill="FFFFFF"/>
              </w:rPr>
              <w:t>Introduction; Cell and Tissue Culture Techniques; Applications of Cell and Tissue Culture; Gene Transfer Methods in Plants; Transgenic Plants with Beneficial Traits; Biosafety in Plant Genetic Engineering</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6</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Sep</w:t>
            </w:r>
          </w:p>
          <w:p w:rsidR="00A26197" w:rsidRPr="00C65A12" w:rsidRDefault="00A26197" w:rsidP="00A26197">
            <w:pPr>
              <w:rPr>
                <w:rFonts w:ascii="Arial" w:hAnsi="Arial" w:cs="Arial"/>
                <w:sz w:val="24"/>
                <w:szCs w:val="24"/>
              </w:rPr>
            </w:pPr>
            <w:bookmarkStart w:id="0" w:name="_GoBack"/>
            <w:bookmarkEnd w:id="0"/>
          </w:p>
        </w:tc>
        <w:tc>
          <w:tcPr>
            <w:tcW w:w="3780" w:type="dxa"/>
          </w:tcPr>
          <w:p w:rsidR="00C65A12" w:rsidRPr="00C65A12" w:rsidRDefault="00C65A12" w:rsidP="00A26197">
            <w:pPr>
              <w:rPr>
                <w:rStyle w:val="Strong"/>
                <w:rFonts w:ascii="Arial" w:hAnsi="Arial" w:cs="Arial"/>
                <w:b w:val="0"/>
                <w:color w:val="212529"/>
                <w:sz w:val="24"/>
                <w:szCs w:val="24"/>
                <w:shd w:val="clear" w:color="auto" w:fill="FFFFFF"/>
              </w:rPr>
            </w:pPr>
          </w:p>
          <w:p w:rsidR="00A26197" w:rsidRPr="00C65A12" w:rsidRDefault="00A26197" w:rsidP="00A26197">
            <w:pPr>
              <w:rPr>
                <w:rFonts w:ascii="Arial" w:hAnsi="Arial" w:cs="Arial"/>
                <w:sz w:val="24"/>
                <w:szCs w:val="24"/>
              </w:rPr>
            </w:pPr>
            <w:r w:rsidRPr="00C65A12">
              <w:rPr>
                <w:rStyle w:val="Strong"/>
                <w:rFonts w:ascii="Arial" w:hAnsi="Arial" w:cs="Arial"/>
                <w:b w:val="0"/>
                <w:color w:val="212529"/>
                <w:sz w:val="24"/>
                <w:szCs w:val="24"/>
                <w:shd w:val="clear" w:color="auto" w:fill="FFFFFF"/>
              </w:rPr>
              <w:t>Animal Cell Culture and Applications</w:t>
            </w:r>
          </w:p>
        </w:tc>
        <w:tc>
          <w:tcPr>
            <w:tcW w:w="3258" w:type="dxa"/>
          </w:tcPr>
          <w:p w:rsidR="00A26197" w:rsidRPr="00C65A12" w:rsidRDefault="00A26197" w:rsidP="00A26197">
            <w:pPr>
              <w:rPr>
                <w:rFonts w:ascii="Arial" w:hAnsi="Arial" w:cs="Arial"/>
                <w:sz w:val="24"/>
                <w:szCs w:val="24"/>
              </w:rPr>
            </w:pPr>
            <w:r w:rsidRPr="00C65A12">
              <w:rPr>
                <w:rFonts w:ascii="Arial" w:hAnsi="Arial" w:cs="Arial"/>
                <w:color w:val="212529"/>
                <w:sz w:val="24"/>
                <w:szCs w:val="24"/>
                <w:shd w:val="clear" w:color="auto" w:fill="FFFFFF"/>
              </w:rPr>
              <w:t>Introduction, Animal cell culture techniques, Characterisation of cell lines, Methods of gene delivery into cells, Scale-up of animal culture process, Applications of animal cell culture, Stem cell technology, Tissue engineering</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7</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Oct</w:t>
            </w:r>
          </w:p>
          <w:p w:rsidR="00C65A12" w:rsidRPr="00C65A12" w:rsidRDefault="00C65A12" w:rsidP="00A26197">
            <w:pPr>
              <w:rPr>
                <w:rFonts w:ascii="Arial" w:hAnsi="Arial" w:cs="Arial"/>
                <w:sz w:val="24"/>
                <w:szCs w:val="24"/>
              </w:rPr>
            </w:pPr>
          </w:p>
        </w:tc>
        <w:tc>
          <w:tcPr>
            <w:tcW w:w="3780" w:type="dxa"/>
          </w:tcPr>
          <w:p w:rsidR="00C65A12" w:rsidRPr="00C65A12" w:rsidRDefault="00C65A12" w:rsidP="00A26197">
            <w:pPr>
              <w:rPr>
                <w:rFonts w:ascii="Arial" w:hAnsi="Arial" w:cs="Arial"/>
                <w:sz w:val="24"/>
                <w:szCs w:val="24"/>
              </w:rPr>
            </w:pPr>
            <w:r w:rsidRPr="00C65A12">
              <w:rPr>
                <w:rFonts w:ascii="Arial" w:hAnsi="Arial" w:cs="Arial"/>
                <w:sz w:val="24"/>
                <w:szCs w:val="24"/>
              </w:rPr>
              <w:t>Revision of Syllabus.</w:t>
            </w:r>
          </w:p>
          <w:p w:rsidR="00A26197" w:rsidRPr="00C65A12" w:rsidRDefault="00C65A12" w:rsidP="00A26197">
            <w:pPr>
              <w:rPr>
                <w:rFonts w:ascii="Arial" w:hAnsi="Arial" w:cs="Arial"/>
                <w:sz w:val="24"/>
                <w:szCs w:val="24"/>
              </w:rPr>
            </w:pPr>
            <w:r w:rsidRPr="00C65A12">
              <w:rPr>
                <w:rFonts w:ascii="Arial" w:hAnsi="Arial" w:cs="Arial"/>
                <w:sz w:val="24"/>
                <w:szCs w:val="24"/>
              </w:rPr>
              <w:t>Question Answer as per NCERT guidelines</w:t>
            </w:r>
          </w:p>
        </w:tc>
        <w:tc>
          <w:tcPr>
            <w:tcW w:w="3258" w:type="dxa"/>
          </w:tcPr>
          <w:p w:rsidR="00A26197" w:rsidRPr="00C65A12" w:rsidRDefault="00C65A12" w:rsidP="00A26197">
            <w:pPr>
              <w:rPr>
                <w:rFonts w:ascii="Arial" w:hAnsi="Arial" w:cs="Arial"/>
                <w:sz w:val="24"/>
                <w:szCs w:val="24"/>
              </w:rPr>
            </w:pPr>
            <w:r w:rsidRPr="00C65A12">
              <w:rPr>
                <w:rFonts w:ascii="Arial" w:hAnsi="Arial" w:cs="Arial"/>
                <w:sz w:val="24"/>
                <w:szCs w:val="24"/>
              </w:rPr>
              <w:t>Chapter 1&amp;2</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8</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Nov</w:t>
            </w:r>
          </w:p>
        </w:tc>
        <w:tc>
          <w:tcPr>
            <w:tcW w:w="3780" w:type="dxa"/>
          </w:tcPr>
          <w:p w:rsidR="00C65A12" w:rsidRPr="00C65A12" w:rsidRDefault="00C65A12" w:rsidP="00A26197">
            <w:pPr>
              <w:rPr>
                <w:rFonts w:ascii="Arial" w:hAnsi="Arial" w:cs="Arial"/>
                <w:sz w:val="24"/>
                <w:szCs w:val="24"/>
              </w:rPr>
            </w:pPr>
            <w:r w:rsidRPr="00C65A12">
              <w:rPr>
                <w:rFonts w:ascii="Arial" w:hAnsi="Arial" w:cs="Arial"/>
                <w:sz w:val="24"/>
                <w:szCs w:val="24"/>
              </w:rPr>
              <w:t>Revision of Syllabus.</w:t>
            </w:r>
          </w:p>
          <w:p w:rsidR="00A26197" w:rsidRPr="00C65A12" w:rsidRDefault="00C65A12" w:rsidP="00A26197">
            <w:pPr>
              <w:rPr>
                <w:rFonts w:ascii="Arial" w:hAnsi="Arial" w:cs="Arial"/>
                <w:sz w:val="24"/>
                <w:szCs w:val="24"/>
              </w:rPr>
            </w:pPr>
            <w:r w:rsidRPr="00C65A12">
              <w:rPr>
                <w:rFonts w:ascii="Arial" w:hAnsi="Arial" w:cs="Arial"/>
                <w:sz w:val="24"/>
                <w:szCs w:val="24"/>
              </w:rPr>
              <w:t>Previous year paper discussion</w:t>
            </w:r>
          </w:p>
        </w:tc>
        <w:tc>
          <w:tcPr>
            <w:tcW w:w="3258" w:type="dxa"/>
          </w:tcPr>
          <w:p w:rsidR="00A26197" w:rsidRPr="00C65A12" w:rsidRDefault="00C65A12" w:rsidP="00C65A12">
            <w:pPr>
              <w:rPr>
                <w:rFonts w:ascii="Arial" w:hAnsi="Arial" w:cs="Arial"/>
                <w:sz w:val="24"/>
                <w:szCs w:val="24"/>
              </w:rPr>
            </w:pPr>
            <w:r w:rsidRPr="00C65A12">
              <w:rPr>
                <w:rFonts w:ascii="Arial" w:hAnsi="Arial" w:cs="Arial"/>
                <w:sz w:val="24"/>
                <w:szCs w:val="24"/>
              </w:rPr>
              <w:t>Chapter 3&amp;4</w:t>
            </w:r>
          </w:p>
        </w:tc>
      </w:tr>
      <w:tr w:rsidR="00A26197" w:rsidRPr="00C65A12" w:rsidTr="00A26197">
        <w:tc>
          <w:tcPr>
            <w:tcW w:w="1098" w:type="dxa"/>
          </w:tcPr>
          <w:p w:rsidR="00A26197" w:rsidRPr="00C65A12" w:rsidRDefault="00A26197" w:rsidP="00A26197">
            <w:pPr>
              <w:rPr>
                <w:rFonts w:ascii="Arial" w:hAnsi="Arial" w:cs="Arial"/>
                <w:sz w:val="24"/>
                <w:szCs w:val="24"/>
              </w:rPr>
            </w:pPr>
            <w:r w:rsidRPr="00C65A12">
              <w:rPr>
                <w:rFonts w:ascii="Arial" w:hAnsi="Arial" w:cs="Arial"/>
                <w:sz w:val="24"/>
                <w:szCs w:val="24"/>
              </w:rPr>
              <w:t>9</w:t>
            </w:r>
          </w:p>
        </w:tc>
        <w:tc>
          <w:tcPr>
            <w:tcW w:w="1440" w:type="dxa"/>
          </w:tcPr>
          <w:p w:rsidR="00A26197" w:rsidRPr="00C65A12" w:rsidRDefault="00A26197" w:rsidP="00A26197">
            <w:pPr>
              <w:rPr>
                <w:rFonts w:ascii="Arial" w:hAnsi="Arial" w:cs="Arial"/>
                <w:sz w:val="24"/>
                <w:szCs w:val="24"/>
              </w:rPr>
            </w:pPr>
            <w:r w:rsidRPr="00C65A12">
              <w:rPr>
                <w:rFonts w:ascii="Arial" w:hAnsi="Arial" w:cs="Arial"/>
                <w:sz w:val="24"/>
                <w:szCs w:val="24"/>
              </w:rPr>
              <w:t>Dec</w:t>
            </w:r>
          </w:p>
        </w:tc>
        <w:tc>
          <w:tcPr>
            <w:tcW w:w="3780" w:type="dxa"/>
          </w:tcPr>
          <w:p w:rsidR="00A26197" w:rsidRPr="00C65A12" w:rsidRDefault="00C65A12" w:rsidP="00A26197">
            <w:pPr>
              <w:rPr>
                <w:rFonts w:ascii="Arial" w:hAnsi="Arial" w:cs="Arial"/>
                <w:sz w:val="24"/>
                <w:szCs w:val="24"/>
              </w:rPr>
            </w:pPr>
            <w:r w:rsidRPr="00C65A12">
              <w:rPr>
                <w:rFonts w:ascii="Arial" w:hAnsi="Arial" w:cs="Arial"/>
                <w:sz w:val="24"/>
                <w:szCs w:val="24"/>
              </w:rPr>
              <w:t>Revision of Syllabus</w:t>
            </w:r>
          </w:p>
        </w:tc>
        <w:tc>
          <w:tcPr>
            <w:tcW w:w="3258" w:type="dxa"/>
          </w:tcPr>
          <w:p w:rsidR="00A26197" w:rsidRPr="00C65A12" w:rsidRDefault="00C65A12" w:rsidP="00A26197">
            <w:pPr>
              <w:rPr>
                <w:rFonts w:ascii="Arial" w:hAnsi="Arial" w:cs="Arial"/>
                <w:sz w:val="24"/>
                <w:szCs w:val="24"/>
              </w:rPr>
            </w:pPr>
            <w:r w:rsidRPr="00C65A12">
              <w:rPr>
                <w:rFonts w:ascii="Arial" w:hAnsi="Arial" w:cs="Arial"/>
                <w:sz w:val="24"/>
                <w:szCs w:val="24"/>
              </w:rPr>
              <w:t>Chapter 5&amp;6</w:t>
            </w:r>
          </w:p>
        </w:tc>
      </w:tr>
    </w:tbl>
    <w:p w:rsidR="00A26197" w:rsidRPr="00A26197" w:rsidRDefault="00A26197" w:rsidP="00A26197">
      <w:pPr>
        <w:rPr>
          <w:rFonts w:ascii="Arial" w:hAnsi="Arial" w:cs="Arial"/>
          <w:sz w:val="24"/>
          <w:szCs w:val="24"/>
        </w:rPr>
      </w:pPr>
    </w:p>
    <w:sectPr w:rsidR="00A26197" w:rsidRPr="00A26197" w:rsidSect="0071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26197"/>
    <w:rsid w:val="00045599"/>
    <w:rsid w:val="002C1B9F"/>
    <w:rsid w:val="00423FCF"/>
    <w:rsid w:val="007169A9"/>
    <w:rsid w:val="00A26197"/>
    <w:rsid w:val="00C6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57218-ABC7-454C-9378-6E915002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1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26197"/>
    <w:rPr>
      <w:b/>
      <w:bCs/>
    </w:rPr>
  </w:style>
  <w:style w:type="paragraph" w:styleId="NormalWeb">
    <w:name w:val="Normal (Web)"/>
    <w:basedOn w:val="Normal"/>
    <w:uiPriority w:val="99"/>
    <w:unhideWhenUsed/>
    <w:rsid w:val="00A26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VRAT UPADHYAY</dc:creator>
  <cp:lastModifiedBy>software</cp:lastModifiedBy>
  <cp:revision>3</cp:revision>
  <dcterms:created xsi:type="dcterms:W3CDTF">2019-06-30T16:55:00Z</dcterms:created>
  <dcterms:modified xsi:type="dcterms:W3CDTF">2019-07-01T02:45:00Z</dcterms:modified>
</cp:coreProperties>
</file>