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A9" w:rsidRPr="00AF53DB" w:rsidRDefault="00A26197" w:rsidP="00D14082">
      <w:pPr>
        <w:spacing w:line="240" w:lineRule="auto"/>
        <w:jc w:val="center"/>
        <w:rPr>
          <w:rFonts w:ascii="Arial" w:hAnsi="Arial" w:cs="Arial"/>
          <w:b/>
          <w:sz w:val="32"/>
          <w:szCs w:val="32"/>
        </w:rPr>
      </w:pPr>
      <w:r w:rsidRPr="00AF53DB">
        <w:rPr>
          <w:rFonts w:ascii="Arial" w:hAnsi="Arial" w:cs="Arial"/>
          <w:b/>
          <w:sz w:val="32"/>
          <w:szCs w:val="32"/>
        </w:rPr>
        <w:t>AIR FORCE SCHOOL BAMRAULI</w:t>
      </w:r>
    </w:p>
    <w:p w:rsidR="00A26197" w:rsidRDefault="00A26197" w:rsidP="00D14082">
      <w:pPr>
        <w:spacing w:line="240" w:lineRule="auto"/>
        <w:jc w:val="center"/>
        <w:rPr>
          <w:rFonts w:ascii="Arial" w:hAnsi="Arial" w:cs="Arial"/>
          <w:sz w:val="24"/>
          <w:szCs w:val="24"/>
        </w:rPr>
      </w:pPr>
      <w:r>
        <w:rPr>
          <w:rFonts w:ascii="Arial" w:hAnsi="Arial" w:cs="Arial"/>
          <w:sz w:val="24"/>
          <w:szCs w:val="24"/>
        </w:rPr>
        <w:t>ACA</w:t>
      </w:r>
      <w:bookmarkStart w:id="0" w:name="_GoBack"/>
      <w:bookmarkEnd w:id="0"/>
      <w:r>
        <w:rPr>
          <w:rFonts w:ascii="Arial" w:hAnsi="Arial" w:cs="Arial"/>
          <w:sz w:val="24"/>
          <w:szCs w:val="24"/>
        </w:rPr>
        <w:t>DEMIC SESSION 2019-20</w:t>
      </w:r>
    </w:p>
    <w:p w:rsidR="00A26197" w:rsidRDefault="00A26197" w:rsidP="00D14082">
      <w:pPr>
        <w:spacing w:line="240" w:lineRule="auto"/>
        <w:jc w:val="center"/>
        <w:rPr>
          <w:rFonts w:ascii="Arial" w:hAnsi="Arial" w:cs="Arial"/>
          <w:sz w:val="24"/>
          <w:szCs w:val="24"/>
        </w:rPr>
      </w:pPr>
      <w:r>
        <w:rPr>
          <w:rFonts w:ascii="Arial" w:hAnsi="Arial" w:cs="Arial"/>
          <w:sz w:val="24"/>
          <w:szCs w:val="24"/>
        </w:rPr>
        <w:t>MONTHLY SPLIT-UP OF SYLLABUS</w:t>
      </w:r>
    </w:p>
    <w:p w:rsidR="00A26197" w:rsidRDefault="00A26197" w:rsidP="00A26197">
      <w:pPr>
        <w:jc w:val="center"/>
        <w:rPr>
          <w:rFonts w:ascii="Arial" w:hAnsi="Arial" w:cs="Arial"/>
          <w:sz w:val="24"/>
          <w:szCs w:val="24"/>
        </w:rPr>
      </w:pPr>
    </w:p>
    <w:p w:rsidR="00A26197" w:rsidRDefault="00A26197" w:rsidP="00A26197">
      <w:pPr>
        <w:rPr>
          <w:rFonts w:ascii="Arial" w:hAnsi="Arial" w:cs="Arial"/>
          <w:sz w:val="24"/>
          <w:szCs w:val="24"/>
        </w:rPr>
      </w:pPr>
      <w:r>
        <w:rPr>
          <w:rFonts w:ascii="Arial" w:hAnsi="Arial" w:cs="Arial"/>
          <w:sz w:val="24"/>
          <w:szCs w:val="24"/>
        </w:rPr>
        <w:t>Class –XI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Sub: Biotechnology</w:t>
      </w:r>
    </w:p>
    <w:tbl>
      <w:tblPr>
        <w:tblStyle w:val="TableGrid"/>
        <w:tblW w:w="0" w:type="auto"/>
        <w:tblLook w:val="04A0" w:firstRow="1" w:lastRow="0" w:firstColumn="1" w:lastColumn="0" w:noHBand="0" w:noVBand="1"/>
      </w:tblPr>
      <w:tblGrid>
        <w:gridCol w:w="1098"/>
        <w:gridCol w:w="1440"/>
        <w:gridCol w:w="3780"/>
        <w:gridCol w:w="3258"/>
      </w:tblGrid>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Sl. No.</w:t>
            </w:r>
          </w:p>
        </w:tc>
        <w:tc>
          <w:tcPr>
            <w:tcW w:w="1440" w:type="dxa"/>
          </w:tcPr>
          <w:p w:rsidR="00A26197" w:rsidRPr="00D14082" w:rsidRDefault="00A26197" w:rsidP="00A26197">
            <w:pPr>
              <w:rPr>
                <w:rFonts w:ascii="Arial" w:hAnsi="Arial" w:cs="Arial"/>
                <w:sz w:val="24"/>
                <w:szCs w:val="24"/>
              </w:rPr>
            </w:pPr>
            <w:r w:rsidRPr="00D14082">
              <w:rPr>
                <w:rFonts w:ascii="Arial" w:hAnsi="Arial" w:cs="Arial"/>
                <w:sz w:val="24"/>
                <w:szCs w:val="24"/>
              </w:rPr>
              <w:t>Month</w:t>
            </w:r>
          </w:p>
        </w:tc>
        <w:tc>
          <w:tcPr>
            <w:tcW w:w="3780" w:type="dxa"/>
          </w:tcPr>
          <w:p w:rsidR="00A26197" w:rsidRPr="00D14082" w:rsidRDefault="00A26197" w:rsidP="00A26197">
            <w:pPr>
              <w:rPr>
                <w:rFonts w:ascii="Arial" w:hAnsi="Arial" w:cs="Arial"/>
                <w:sz w:val="24"/>
                <w:szCs w:val="24"/>
              </w:rPr>
            </w:pPr>
            <w:r w:rsidRPr="00D14082">
              <w:rPr>
                <w:rFonts w:ascii="Arial" w:hAnsi="Arial" w:cs="Arial"/>
                <w:sz w:val="24"/>
                <w:szCs w:val="24"/>
              </w:rPr>
              <w:t>Chapter/Unit Lesson</w:t>
            </w:r>
          </w:p>
        </w:tc>
        <w:tc>
          <w:tcPr>
            <w:tcW w:w="3258" w:type="dxa"/>
          </w:tcPr>
          <w:p w:rsidR="00A26197" w:rsidRPr="00D14082" w:rsidRDefault="00A26197" w:rsidP="00A26197">
            <w:pPr>
              <w:rPr>
                <w:rFonts w:ascii="Arial" w:hAnsi="Arial" w:cs="Arial"/>
                <w:sz w:val="24"/>
                <w:szCs w:val="24"/>
              </w:rPr>
            </w:pPr>
            <w:r w:rsidRPr="00D14082">
              <w:rPr>
                <w:rFonts w:ascii="Arial" w:hAnsi="Arial" w:cs="Arial"/>
                <w:sz w:val="24"/>
                <w:szCs w:val="24"/>
              </w:rPr>
              <w:t>Topic/Sub Topic</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1</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Jun</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Introduction to Biotechnology</w:t>
            </w:r>
          </w:p>
        </w:tc>
        <w:tc>
          <w:tcPr>
            <w:tcW w:w="3258" w:type="dxa"/>
          </w:tcPr>
          <w:p w:rsidR="00A26197"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Historical Perspectives; Production Strategies in Biotechnology; Quality Control; Product Safety; Good Manufacturing Practices; Good Laboratory Practices; Intellectual Property; Public Perception; Global market; Biotechnology in India and Global Trends</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2</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Jul</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Biomolecules: Building Blocks</w:t>
            </w:r>
          </w:p>
        </w:tc>
        <w:tc>
          <w:tcPr>
            <w:tcW w:w="3258" w:type="dxa"/>
          </w:tcPr>
          <w:p w:rsidR="00A26197"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Building Blocks of Carbohydrates - Sugars and Their Derivatives; Building Blocks of Proteins - Amino Acids; Building Blocks of Lipids - Simple Fatty Acids, Sphingosine, Glycerol and Cholesterol; Building Blocks of Nucleic Acids - Nucleotides; Biochemical Transformations</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3</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Aug</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Biomolecules: Building Blocks</w:t>
            </w:r>
          </w:p>
        </w:tc>
        <w:tc>
          <w:tcPr>
            <w:tcW w:w="3258" w:type="dxa"/>
          </w:tcPr>
          <w:p w:rsidR="00C65A12"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Carbohydrates - The Energy Givers; Proteins - The Performers; Enzymes - The Catalysts; Lipids and Biomembranes - The Barriers; Nucleic Acids - The Managers</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4</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Sep</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Concepts of Genetics</w:t>
            </w:r>
          </w:p>
        </w:tc>
        <w:tc>
          <w:tcPr>
            <w:tcW w:w="3258" w:type="dxa"/>
          </w:tcPr>
          <w:p w:rsidR="00A26197" w:rsidRPr="00D14082" w:rsidRDefault="00D14082" w:rsidP="00A26197">
            <w:pPr>
              <w:pStyle w:val="NormalWeb"/>
              <w:shd w:val="clear" w:color="auto" w:fill="FFFFFF"/>
              <w:spacing w:before="0" w:beforeAutospacing="0"/>
              <w:jc w:val="both"/>
              <w:rPr>
                <w:rFonts w:ascii="Arial" w:hAnsi="Arial" w:cs="Arial"/>
              </w:rPr>
            </w:pPr>
            <w:r w:rsidRPr="00D14082">
              <w:rPr>
                <w:rFonts w:ascii="Arial" w:hAnsi="Arial" w:cs="Arial"/>
                <w:color w:val="212529"/>
                <w:shd w:val="clear" w:color="auto" w:fill="FFFFFF"/>
              </w:rPr>
              <w:t xml:space="preserve">Historical Perspective, Multiple Alleles, Linkage and Crossing Over, Genetic Mapping, Gene Interaction, Sex-Linked Inheritance, Extranuclear Inheritance, </w:t>
            </w:r>
            <w:r w:rsidRPr="00D14082">
              <w:rPr>
                <w:rFonts w:ascii="Arial" w:hAnsi="Arial" w:cs="Arial"/>
                <w:color w:val="212529"/>
                <w:shd w:val="clear" w:color="auto" w:fill="FFFFFF"/>
              </w:rPr>
              <w:lastRenderedPageBreak/>
              <w:t>Qauntitative Inheritance, Genes at the Population Level</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lastRenderedPageBreak/>
              <w:t>5</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Oct</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Genes and Genomes: Structure and Function</w:t>
            </w:r>
          </w:p>
        </w:tc>
        <w:tc>
          <w:tcPr>
            <w:tcW w:w="3258" w:type="dxa"/>
          </w:tcPr>
          <w:p w:rsidR="00A26197"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Discovery of DNA as Genetic Material, DNA Replication, Fine Structure of Genes, From Gene to Protein, Transcription – The Basic Process, Genetic Code, Translation, Regulation of Gene Expression, Mutations, DNA Repair, Human Genetic Disorders, Genome Organization</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6</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Nov</w:t>
            </w:r>
          </w:p>
          <w:p w:rsidR="00A26197" w:rsidRPr="00D14082" w:rsidRDefault="00A26197"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CD7619"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The Basic Unit of Life</w:t>
            </w:r>
          </w:p>
        </w:tc>
        <w:tc>
          <w:tcPr>
            <w:tcW w:w="3258" w:type="dxa"/>
          </w:tcPr>
          <w:p w:rsidR="00A26197"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Cell Structure and Components, Tissues and Organs, Stem Cells, Biodiversity, Organization of Life.</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7</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Dec</w:t>
            </w:r>
          </w:p>
          <w:p w:rsidR="00C65A12" w:rsidRPr="00D14082" w:rsidRDefault="00C65A12" w:rsidP="00A26197">
            <w:pPr>
              <w:rPr>
                <w:rFonts w:ascii="Arial" w:hAnsi="Arial" w:cs="Arial"/>
                <w:sz w:val="24"/>
                <w:szCs w:val="24"/>
              </w:rPr>
            </w:pPr>
          </w:p>
        </w:tc>
        <w:tc>
          <w:tcPr>
            <w:tcW w:w="3780" w:type="dxa"/>
          </w:tcPr>
          <w:p w:rsidR="00AE1C95" w:rsidRDefault="00AE1C95" w:rsidP="00A26197">
            <w:pPr>
              <w:rPr>
                <w:rStyle w:val="Strong"/>
                <w:rFonts w:ascii="Arial" w:hAnsi="Arial" w:cs="Arial"/>
                <w:b w:val="0"/>
                <w:color w:val="212529"/>
                <w:sz w:val="24"/>
                <w:szCs w:val="24"/>
                <w:shd w:val="clear" w:color="auto" w:fill="FFFFFF"/>
              </w:rPr>
            </w:pPr>
          </w:p>
          <w:p w:rsidR="00A26197" w:rsidRPr="00D14082" w:rsidRDefault="00D14082" w:rsidP="00A26197">
            <w:pPr>
              <w:rPr>
                <w:rFonts w:ascii="Arial" w:hAnsi="Arial" w:cs="Arial"/>
                <w:sz w:val="24"/>
                <w:szCs w:val="24"/>
              </w:rPr>
            </w:pPr>
            <w:r w:rsidRPr="00D14082">
              <w:rPr>
                <w:rStyle w:val="Strong"/>
                <w:rFonts w:ascii="Arial" w:hAnsi="Arial" w:cs="Arial"/>
                <w:b w:val="0"/>
                <w:color w:val="212529"/>
                <w:sz w:val="24"/>
                <w:szCs w:val="24"/>
                <w:shd w:val="clear" w:color="auto" w:fill="FFFFFF"/>
              </w:rPr>
              <w:t>Cell Growth and Development</w:t>
            </w:r>
          </w:p>
        </w:tc>
        <w:tc>
          <w:tcPr>
            <w:tcW w:w="3258" w:type="dxa"/>
          </w:tcPr>
          <w:p w:rsidR="00A26197" w:rsidRPr="00D14082" w:rsidRDefault="00D14082" w:rsidP="00A26197">
            <w:pPr>
              <w:rPr>
                <w:rFonts w:ascii="Arial" w:hAnsi="Arial" w:cs="Arial"/>
                <w:sz w:val="24"/>
                <w:szCs w:val="24"/>
              </w:rPr>
            </w:pPr>
            <w:r w:rsidRPr="00D14082">
              <w:rPr>
                <w:rFonts w:ascii="Arial" w:hAnsi="Arial" w:cs="Arial"/>
                <w:color w:val="212529"/>
                <w:sz w:val="24"/>
                <w:szCs w:val="24"/>
                <w:shd w:val="clear" w:color="auto" w:fill="FFFFFF"/>
              </w:rPr>
              <w:t>Cell Division, Cell Cycle, Cell Communication, Nutrition, Gaseous Exchange, Internal Transport, Maintaining the Internal Environment, Reproduction, In Vitro Fertilization, Animal and Plant Development, Immune Response in Animals, Programmed Cell Death, Defense Mechanisms in Plants.</w:t>
            </w: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8</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Jan</w:t>
            </w:r>
          </w:p>
          <w:p w:rsidR="00D14082" w:rsidRPr="00D14082" w:rsidRDefault="00D14082" w:rsidP="00A26197">
            <w:pPr>
              <w:rPr>
                <w:rFonts w:ascii="Arial" w:hAnsi="Arial" w:cs="Arial"/>
                <w:sz w:val="24"/>
                <w:szCs w:val="24"/>
              </w:rPr>
            </w:pPr>
          </w:p>
        </w:tc>
        <w:tc>
          <w:tcPr>
            <w:tcW w:w="3780" w:type="dxa"/>
          </w:tcPr>
          <w:p w:rsidR="00AE1C95" w:rsidRDefault="00AE1C95" w:rsidP="00A26197">
            <w:pPr>
              <w:rPr>
                <w:rFonts w:ascii="Arial" w:hAnsi="Arial" w:cs="Arial"/>
                <w:sz w:val="24"/>
                <w:szCs w:val="24"/>
              </w:rPr>
            </w:pPr>
          </w:p>
          <w:p w:rsidR="00A26197" w:rsidRPr="00D14082" w:rsidRDefault="00D14082" w:rsidP="00A26197">
            <w:pPr>
              <w:rPr>
                <w:rFonts w:ascii="Arial" w:hAnsi="Arial" w:cs="Arial"/>
                <w:sz w:val="24"/>
                <w:szCs w:val="24"/>
              </w:rPr>
            </w:pPr>
            <w:r>
              <w:rPr>
                <w:rFonts w:ascii="Arial" w:hAnsi="Arial" w:cs="Arial"/>
                <w:sz w:val="24"/>
                <w:szCs w:val="24"/>
              </w:rPr>
              <w:t>Revision</w:t>
            </w:r>
          </w:p>
        </w:tc>
        <w:tc>
          <w:tcPr>
            <w:tcW w:w="3258" w:type="dxa"/>
          </w:tcPr>
          <w:p w:rsidR="00A26197" w:rsidRPr="00D14082" w:rsidRDefault="00A26197" w:rsidP="00C65A12">
            <w:pPr>
              <w:rPr>
                <w:rFonts w:ascii="Arial" w:hAnsi="Arial" w:cs="Arial"/>
                <w:sz w:val="24"/>
                <w:szCs w:val="24"/>
              </w:rPr>
            </w:pPr>
          </w:p>
        </w:tc>
      </w:tr>
      <w:tr w:rsidR="00A26197" w:rsidRPr="00D14082" w:rsidTr="00A26197">
        <w:tc>
          <w:tcPr>
            <w:tcW w:w="1098" w:type="dxa"/>
          </w:tcPr>
          <w:p w:rsidR="00A26197" w:rsidRPr="00D14082" w:rsidRDefault="00A26197" w:rsidP="00A26197">
            <w:pPr>
              <w:rPr>
                <w:rFonts w:ascii="Arial" w:hAnsi="Arial" w:cs="Arial"/>
                <w:sz w:val="24"/>
                <w:szCs w:val="24"/>
              </w:rPr>
            </w:pPr>
            <w:r w:rsidRPr="00D14082">
              <w:rPr>
                <w:rFonts w:ascii="Arial" w:hAnsi="Arial" w:cs="Arial"/>
                <w:sz w:val="24"/>
                <w:szCs w:val="24"/>
              </w:rPr>
              <w:t>9</w:t>
            </w:r>
          </w:p>
        </w:tc>
        <w:tc>
          <w:tcPr>
            <w:tcW w:w="1440" w:type="dxa"/>
          </w:tcPr>
          <w:p w:rsidR="00A26197" w:rsidRPr="00D14082" w:rsidRDefault="00D14082" w:rsidP="00A26197">
            <w:pPr>
              <w:rPr>
                <w:rFonts w:ascii="Arial" w:hAnsi="Arial" w:cs="Arial"/>
                <w:sz w:val="24"/>
                <w:szCs w:val="24"/>
              </w:rPr>
            </w:pPr>
            <w:r w:rsidRPr="00D14082">
              <w:rPr>
                <w:rFonts w:ascii="Arial" w:hAnsi="Arial" w:cs="Arial"/>
                <w:sz w:val="24"/>
                <w:szCs w:val="24"/>
              </w:rPr>
              <w:t>Feb</w:t>
            </w:r>
          </w:p>
          <w:p w:rsidR="00D14082" w:rsidRPr="00D14082" w:rsidRDefault="00D14082" w:rsidP="00A26197">
            <w:pPr>
              <w:rPr>
                <w:rFonts w:ascii="Arial" w:hAnsi="Arial" w:cs="Arial"/>
                <w:sz w:val="24"/>
                <w:szCs w:val="24"/>
              </w:rPr>
            </w:pPr>
          </w:p>
        </w:tc>
        <w:tc>
          <w:tcPr>
            <w:tcW w:w="3780" w:type="dxa"/>
          </w:tcPr>
          <w:p w:rsidR="00AE1C95" w:rsidRDefault="00AE1C95" w:rsidP="00A26197">
            <w:pPr>
              <w:rPr>
                <w:rFonts w:ascii="Arial" w:hAnsi="Arial" w:cs="Arial"/>
                <w:sz w:val="24"/>
                <w:szCs w:val="24"/>
              </w:rPr>
            </w:pPr>
          </w:p>
          <w:p w:rsidR="00A26197" w:rsidRPr="00D14082" w:rsidRDefault="00D14082" w:rsidP="00A26197">
            <w:pPr>
              <w:rPr>
                <w:rFonts w:ascii="Arial" w:hAnsi="Arial" w:cs="Arial"/>
                <w:sz w:val="24"/>
                <w:szCs w:val="24"/>
              </w:rPr>
            </w:pPr>
            <w:r>
              <w:rPr>
                <w:rFonts w:ascii="Arial" w:hAnsi="Arial" w:cs="Arial"/>
                <w:sz w:val="24"/>
                <w:szCs w:val="24"/>
              </w:rPr>
              <w:t>Revision</w:t>
            </w:r>
          </w:p>
        </w:tc>
        <w:tc>
          <w:tcPr>
            <w:tcW w:w="3258" w:type="dxa"/>
          </w:tcPr>
          <w:p w:rsidR="00A26197" w:rsidRPr="00D14082" w:rsidRDefault="00A26197" w:rsidP="00A26197">
            <w:pPr>
              <w:rPr>
                <w:rFonts w:ascii="Arial" w:hAnsi="Arial" w:cs="Arial"/>
                <w:sz w:val="24"/>
                <w:szCs w:val="24"/>
              </w:rPr>
            </w:pPr>
          </w:p>
        </w:tc>
      </w:tr>
    </w:tbl>
    <w:p w:rsidR="00A26197" w:rsidRPr="00A26197" w:rsidRDefault="00A26197" w:rsidP="00A26197">
      <w:pPr>
        <w:rPr>
          <w:rFonts w:ascii="Arial" w:hAnsi="Arial" w:cs="Arial"/>
          <w:sz w:val="24"/>
          <w:szCs w:val="24"/>
        </w:rPr>
      </w:pPr>
    </w:p>
    <w:sectPr w:rsidR="00A26197" w:rsidRPr="00A26197" w:rsidSect="0071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26197"/>
    <w:rsid w:val="007169A9"/>
    <w:rsid w:val="0087150B"/>
    <w:rsid w:val="00A26197"/>
    <w:rsid w:val="00AE1C95"/>
    <w:rsid w:val="00AF53DB"/>
    <w:rsid w:val="00B2142B"/>
    <w:rsid w:val="00C65A12"/>
    <w:rsid w:val="00CD7619"/>
    <w:rsid w:val="00D1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4C408-D591-4884-8A68-41E18C9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1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26197"/>
    <w:rPr>
      <w:b/>
      <w:bCs/>
    </w:rPr>
  </w:style>
  <w:style w:type="paragraph" w:styleId="NormalWeb">
    <w:name w:val="Normal (Web)"/>
    <w:basedOn w:val="Normal"/>
    <w:uiPriority w:val="99"/>
    <w:unhideWhenUsed/>
    <w:rsid w:val="00A26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VRAT UPADHYAY</dc:creator>
  <cp:lastModifiedBy>software</cp:lastModifiedBy>
  <cp:revision>5</cp:revision>
  <dcterms:created xsi:type="dcterms:W3CDTF">2019-06-30T17:12:00Z</dcterms:created>
  <dcterms:modified xsi:type="dcterms:W3CDTF">2019-07-01T02:44:00Z</dcterms:modified>
</cp:coreProperties>
</file>